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A6" w:rsidRDefault="00932EA6" w:rsidP="00932EA6">
      <w:pPr>
        <w:shd w:val="clear" w:color="auto" w:fill="FFFFFF"/>
        <w:spacing w:beforeLines="1" w:afterLines="1"/>
        <w:outlineLvl w:val="0"/>
        <w:rPr>
          <w:rFonts w:ascii="Helvetica" w:hAnsi="Helvetica"/>
          <w:b/>
          <w:color w:val="00457C"/>
          <w:kern w:val="36"/>
          <w:sz w:val="28"/>
          <w:szCs w:val="32"/>
        </w:rPr>
      </w:pPr>
      <w:r w:rsidRPr="00932EA6">
        <w:rPr>
          <w:rFonts w:ascii="Helvetica" w:hAnsi="Helvetica"/>
          <w:b/>
          <w:color w:val="00457C"/>
          <w:kern w:val="36"/>
          <w:sz w:val="28"/>
          <w:szCs w:val="32"/>
        </w:rPr>
        <w:t>Cancer therapy with tumor cell lysate pulsed monocyte-derived dendritic cells in patients with metastastic colon cancer: Improvement by danger signals</w:t>
      </w:r>
    </w:p>
    <w:p w:rsidR="00932EA6" w:rsidRPr="00932EA6" w:rsidRDefault="00932EA6" w:rsidP="00932EA6">
      <w:pPr>
        <w:shd w:val="clear" w:color="auto" w:fill="FFFFFF"/>
        <w:spacing w:beforeLines="1" w:afterLines="1"/>
        <w:outlineLvl w:val="0"/>
        <w:rPr>
          <w:rFonts w:ascii="Helvetica" w:hAnsi="Helvetica"/>
          <w:b/>
          <w:color w:val="00457C"/>
          <w:kern w:val="36"/>
          <w:sz w:val="28"/>
          <w:szCs w:val="32"/>
        </w:rPr>
      </w:pPr>
    </w:p>
    <w:p w:rsidR="00932EA6" w:rsidRDefault="00932EA6" w:rsidP="00932EA6">
      <w:pPr>
        <w:rPr>
          <w:rFonts w:ascii="Times" w:hAnsi="Times"/>
          <w:sz w:val="20"/>
          <w:szCs w:val="20"/>
        </w:rPr>
      </w:pPr>
      <w:hyperlink r:id="rId5" w:history="1">
        <w:r w:rsidRPr="00932EA6">
          <w:rPr>
            <w:rFonts w:ascii="Times" w:hAnsi="Times"/>
            <w:b/>
            <w:bCs/>
            <w:color w:val="555555"/>
            <w:sz w:val="20"/>
            <w:szCs w:val="20"/>
            <w:u w:val="single"/>
          </w:rPr>
          <w:t>T. Neβelhut</w:t>
        </w:r>
      </w:hyperlink>
      <w:r w:rsidRPr="00932EA6">
        <w:rPr>
          <w:rFonts w:ascii="Times" w:hAnsi="Times"/>
          <w:sz w:val="20"/>
          <w:szCs w:val="20"/>
        </w:rPr>
        <w:t>, </w:t>
      </w:r>
      <w:hyperlink r:id="rId6" w:history="1">
        <w:r w:rsidRPr="00932EA6">
          <w:rPr>
            <w:rFonts w:ascii="Times" w:hAnsi="Times"/>
            <w:b/>
            <w:bCs/>
            <w:color w:val="555555"/>
            <w:sz w:val="20"/>
            <w:szCs w:val="20"/>
            <w:u w:val="single"/>
          </w:rPr>
          <w:t>D. Lorenzen</w:t>
        </w:r>
      </w:hyperlink>
      <w:r w:rsidRPr="00932EA6">
        <w:rPr>
          <w:rFonts w:ascii="Times" w:hAnsi="Times"/>
          <w:sz w:val="20"/>
          <w:szCs w:val="20"/>
        </w:rPr>
        <w:t>, </w:t>
      </w:r>
      <w:hyperlink r:id="rId7" w:history="1">
        <w:r w:rsidRPr="00932EA6">
          <w:rPr>
            <w:rFonts w:ascii="Times" w:hAnsi="Times"/>
            <w:b/>
            <w:bCs/>
            <w:color w:val="555555"/>
            <w:sz w:val="20"/>
            <w:szCs w:val="20"/>
            <w:u w:val="single"/>
          </w:rPr>
          <w:t>D. Marx</w:t>
        </w:r>
      </w:hyperlink>
      <w:r w:rsidRPr="00932EA6">
        <w:rPr>
          <w:rFonts w:ascii="Times" w:hAnsi="Times"/>
          <w:sz w:val="20"/>
          <w:szCs w:val="20"/>
        </w:rPr>
        <w:t>, </w:t>
      </w:r>
      <w:hyperlink r:id="rId8" w:history="1">
        <w:r w:rsidRPr="00932EA6">
          <w:rPr>
            <w:rFonts w:ascii="Times" w:hAnsi="Times"/>
            <w:b/>
            <w:bCs/>
            <w:color w:val="555555"/>
            <w:sz w:val="20"/>
            <w:szCs w:val="20"/>
            <w:u w:val="single"/>
          </w:rPr>
          <w:t>R. Chang</w:t>
        </w:r>
      </w:hyperlink>
      <w:r w:rsidRPr="00932EA6">
        <w:rPr>
          <w:rFonts w:ascii="Times" w:hAnsi="Times"/>
          <w:sz w:val="20"/>
          <w:szCs w:val="20"/>
        </w:rPr>
        <w:t>, </w:t>
      </w:r>
      <w:hyperlink r:id="rId9" w:history="1">
        <w:r w:rsidRPr="00932EA6">
          <w:rPr>
            <w:rFonts w:ascii="Times" w:hAnsi="Times"/>
            <w:b/>
            <w:bCs/>
            <w:color w:val="555555"/>
            <w:sz w:val="20"/>
            <w:szCs w:val="20"/>
            <w:u w:val="single"/>
          </w:rPr>
          <w:t>J. Neβelhut</w:t>
        </w:r>
      </w:hyperlink>
      <w:r w:rsidRPr="00932EA6">
        <w:rPr>
          <w:rFonts w:ascii="Times" w:hAnsi="Times"/>
          <w:sz w:val="20"/>
          <w:szCs w:val="20"/>
        </w:rPr>
        <w:t>, </w:t>
      </w:r>
      <w:hyperlink r:id="rId10" w:history="1">
        <w:r w:rsidRPr="00932EA6">
          <w:rPr>
            <w:rFonts w:ascii="Times" w:hAnsi="Times"/>
            <w:b/>
            <w:bCs/>
            <w:color w:val="555555"/>
            <w:sz w:val="20"/>
            <w:szCs w:val="20"/>
            <w:u w:val="single"/>
          </w:rPr>
          <w:t>C. Matthes</w:t>
        </w:r>
      </w:hyperlink>
      <w:r w:rsidRPr="00932EA6">
        <w:rPr>
          <w:rFonts w:ascii="Times" w:hAnsi="Times"/>
          <w:sz w:val="20"/>
          <w:szCs w:val="20"/>
        </w:rPr>
        <w:t>, </w:t>
      </w:r>
      <w:hyperlink r:id="rId11" w:history="1">
        <w:r w:rsidRPr="00932EA6">
          <w:rPr>
            <w:rFonts w:ascii="Times" w:hAnsi="Times"/>
            <w:b/>
            <w:bCs/>
            <w:color w:val="555555"/>
            <w:sz w:val="20"/>
            <w:szCs w:val="20"/>
            <w:u w:val="single"/>
          </w:rPr>
          <w:t>N. Cillien</w:t>
        </w:r>
      </w:hyperlink>
      <w:r w:rsidRPr="00932EA6">
        <w:rPr>
          <w:rFonts w:ascii="Times" w:hAnsi="Times"/>
          <w:sz w:val="20"/>
          <w:szCs w:val="20"/>
        </w:rPr>
        <w:t>, </w:t>
      </w:r>
      <w:hyperlink r:id="rId12" w:history="1">
        <w:r w:rsidRPr="00932EA6">
          <w:rPr>
            <w:rFonts w:ascii="Times" w:hAnsi="Times"/>
            <w:b/>
            <w:bCs/>
            <w:color w:val="555555"/>
            <w:sz w:val="20"/>
            <w:szCs w:val="20"/>
            <w:u w:val="single"/>
          </w:rPr>
          <w:t>W. Stücker</w:t>
        </w:r>
      </w:hyperlink>
      <w:r w:rsidRPr="00932EA6">
        <w:rPr>
          <w:rFonts w:ascii="Times" w:hAnsi="Times"/>
          <w:sz w:val="20"/>
          <w:szCs w:val="20"/>
        </w:rPr>
        <w:t>, </w:t>
      </w:r>
      <w:hyperlink r:id="rId13" w:history="1">
        <w:r w:rsidRPr="00932EA6">
          <w:rPr>
            <w:rFonts w:ascii="Times" w:hAnsi="Times"/>
            <w:b/>
            <w:bCs/>
            <w:color w:val="555555"/>
            <w:sz w:val="20"/>
            <w:szCs w:val="20"/>
            <w:u w:val="single"/>
          </w:rPr>
          <w:t>J. Peters</w:t>
        </w:r>
      </w:hyperlink>
      <w:hyperlink r:id="rId14" w:anchor="affiliationsContainer" w:history="1">
        <w:r w:rsidRPr="00932EA6">
          <w:rPr>
            <w:rFonts w:ascii="Times" w:hAnsi="Times"/>
            <w:b/>
            <w:bCs/>
            <w:color w:val="555555"/>
            <w:sz w:val="20"/>
            <w:szCs w:val="20"/>
            <w:u w:val="single"/>
          </w:rPr>
          <w:t>Show More</w:t>
        </w:r>
      </w:hyperlink>
      <w:bookmarkStart w:id="0" w:name="abstract"/>
      <w:bookmarkEnd w:id="0"/>
    </w:p>
    <w:p w:rsidR="00932EA6" w:rsidRDefault="00932EA6" w:rsidP="00932EA6">
      <w:pPr>
        <w:spacing w:line="360" w:lineRule="atLeast"/>
        <w:rPr>
          <w:rFonts w:ascii="Noto Sans" w:hAnsi="Noto Sans" w:cs="Times New Roman"/>
          <w:b/>
          <w:color w:val="000000"/>
          <w:sz w:val="22"/>
          <w:szCs w:val="22"/>
        </w:rPr>
      </w:pPr>
    </w:p>
    <w:p w:rsidR="00932EA6" w:rsidRDefault="00932EA6" w:rsidP="00932EA6">
      <w:pPr>
        <w:spacing w:line="360" w:lineRule="atLeast"/>
        <w:rPr>
          <w:rFonts w:ascii="Noto Sans" w:hAnsi="Noto Sans" w:cs="Times New Roman"/>
          <w:color w:val="000000"/>
          <w:sz w:val="22"/>
          <w:szCs w:val="22"/>
        </w:rPr>
      </w:pPr>
      <w:r w:rsidRPr="00932EA6">
        <w:rPr>
          <w:rFonts w:ascii="Noto Sans" w:hAnsi="Noto Sans" w:cs="Times New Roman"/>
          <w:b/>
          <w:color w:val="000000"/>
          <w:sz w:val="22"/>
          <w:szCs w:val="22"/>
        </w:rPr>
        <w:t>Background:</w:t>
      </w:r>
      <w:r w:rsidRPr="00932EA6">
        <w:rPr>
          <w:rFonts w:ascii="Noto Sans" w:hAnsi="Noto Sans" w:cs="Times New Roman"/>
          <w:color w:val="000000"/>
          <w:sz w:val="22"/>
          <w:szCs w:val="22"/>
        </w:rPr>
        <w:t> The prognosis of </w:t>
      </w:r>
      <w:r w:rsidRPr="00932EA6">
        <w:rPr>
          <w:rFonts w:ascii="Noto Sans" w:hAnsi="Noto Sans" w:cs="Times New Roman"/>
          <w:color w:val="000000"/>
          <w:sz w:val="22"/>
        </w:rPr>
        <w:t>colon</w:t>
      </w:r>
      <w:r w:rsidRPr="00932EA6">
        <w:rPr>
          <w:rFonts w:ascii="Noto Sans" w:hAnsi="Noto Sans" w:cs="Times New Roman"/>
          <w:color w:val="000000"/>
          <w:sz w:val="22"/>
          <w:szCs w:val="22"/>
        </w:rPr>
        <w:t> </w:t>
      </w:r>
      <w:r w:rsidRPr="00932EA6">
        <w:rPr>
          <w:rFonts w:ascii="Noto Sans" w:hAnsi="Noto Sans" w:cs="Times New Roman"/>
          <w:color w:val="000000"/>
          <w:sz w:val="22"/>
        </w:rPr>
        <w:t>cancers</w:t>
      </w:r>
      <w:r w:rsidRPr="00932EA6">
        <w:rPr>
          <w:rFonts w:ascii="Noto Sans" w:hAnsi="Noto Sans" w:cs="Times New Roman"/>
          <w:color w:val="000000"/>
          <w:sz w:val="22"/>
          <w:szCs w:val="22"/>
        </w:rPr>
        <w:t> with hematogenous spread remains poor at 12–20 months. We report the use of a </w:t>
      </w:r>
      <w:r w:rsidRPr="00932EA6">
        <w:rPr>
          <w:rFonts w:ascii="Noto Sans" w:hAnsi="Noto Sans" w:cs="Times New Roman"/>
          <w:color w:val="000000"/>
          <w:sz w:val="22"/>
        </w:rPr>
        <w:t>dendritic</w:t>
      </w:r>
      <w:r w:rsidRPr="00932EA6">
        <w:rPr>
          <w:rFonts w:ascii="Noto Sans" w:hAnsi="Noto Sans" w:cs="Times New Roman"/>
          <w:color w:val="000000"/>
          <w:sz w:val="22"/>
          <w:szCs w:val="22"/>
        </w:rPr>
        <w:t> </w:t>
      </w:r>
      <w:r w:rsidRPr="00932EA6">
        <w:rPr>
          <w:rFonts w:ascii="Noto Sans" w:hAnsi="Noto Sans" w:cs="Times New Roman"/>
          <w:color w:val="000000"/>
          <w:sz w:val="22"/>
        </w:rPr>
        <w:t>cell</w:t>
      </w:r>
      <w:r w:rsidRPr="00932EA6">
        <w:rPr>
          <w:rFonts w:ascii="Noto Sans" w:hAnsi="Noto Sans" w:cs="Times New Roman"/>
          <w:color w:val="000000"/>
          <w:sz w:val="22"/>
          <w:szCs w:val="22"/>
        </w:rPr>
        <w:t> based immunotherapy to improve patient survival, especially with </w:t>
      </w:r>
      <w:r w:rsidRPr="00932EA6">
        <w:rPr>
          <w:rFonts w:ascii="Noto Sans" w:hAnsi="Noto Sans" w:cs="Times New Roman"/>
          <w:color w:val="000000"/>
          <w:sz w:val="22"/>
        </w:rPr>
        <w:t>cell</w:t>
      </w:r>
      <w:r w:rsidRPr="00932EA6">
        <w:rPr>
          <w:rFonts w:ascii="Noto Sans" w:hAnsi="Noto Sans" w:cs="Times New Roman"/>
          <w:color w:val="000000"/>
          <w:sz w:val="22"/>
          <w:szCs w:val="22"/>
        </w:rPr>
        <w:t> culture conditions mimicking infection. </w:t>
      </w:r>
    </w:p>
    <w:p w:rsidR="00932EA6" w:rsidRDefault="00932EA6" w:rsidP="00932EA6">
      <w:pPr>
        <w:spacing w:line="360" w:lineRule="atLeast"/>
        <w:rPr>
          <w:rFonts w:ascii="Noto Sans" w:hAnsi="Noto Sans" w:cs="Times New Roman"/>
          <w:color w:val="000000"/>
          <w:sz w:val="22"/>
          <w:szCs w:val="22"/>
        </w:rPr>
      </w:pPr>
    </w:p>
    <w:p w:rsidR="00932EA6" w:rsidRDefault="00932EA6" w:rsidP="00932EA6">
      <w:pPr>
        <w:spacing w:line="360" w:lineRule="atLeast"/>
        <w:rPr>
          <w:rFonts w:ascii="Noto Sans" w:hAnsi="Noto Sans" w:cs="Times New Roman"/>
          <w:color w:val="000000"/>
          <w:sz w:val="22"/>
          <w:szCs w:val="22"/>
        </w:rPr>
      </w:pPr>
      <w:r w:rsidRPr="00932EA6">
        <w:rPr>
          <w:rFonts w:ascii="Noto Sans" w:hAnsi="Noto Sans" w:cs="Times New Roman"/>
          <w:b/>
          <w:color w:val="000000"/>
          <w:sz w:val="22"/>
          <w:szCs w:val="22"/>
        </w:rPr>
        <w:t>Methods:</w:t>
      </w:r>
      <w:r w:rsidRPr="00932EA6">
        <w:rPr>
          <w:rFonts w:ascii="Noto Sans" w:hAnsi="Noto Sans" w:cs="Times New Roman"/>
          <w:color w:val="000000"/>
          <w:sz w:val="22"/>
          <w:szCs w:val="22"/>
        </w:rPr>
        <w:t> After isolating monocytes from the blood of 39 patients with metastasized </w:t>
      </w:r>
      <w:r w:rsidRPr="00932EA6">
        <w:rPr>
          <w:rFonts w:ascii="Noto Sans" w:hAnsi="Noto Sans" w:cs="Times New Roman"/>
          <w:color w:val="000000"/>
          <w:sz w:val="22"/>
        </w:rPr>
        <w:t>colon</w:t>
      </w:r>
      <w:r w:rsidRPr="00932EA6">
        <w:rPr>
          <w:rFonts w:ascii="Noto Sans" w:hAnsi="Noto Sans" w:cs="Times New Roman"/>
          <w:color w:val="000000"/>
          <w:sz w:val="22"/>
          <w:szCs w:val="22"/>
        </w:rPr>
        <w:t> </w:t>
      </w:r>
      <w:r w:rsidRPr="00932EA6">
        <w:rPr>
          <w:rFonts w:ascii="Noto Sans" w:hAnsi="Noto Sans" w:cs="Times New Roman"/>
          <w:color w:val="000000"/>
          <w:sz w:val="22"/>
        </w:rPr>
        <w:t>cancer</w:t>
      </w:r>
      <w:r w:rsidRPr="00932EA6">
        <w:rPr>
          <w:rFonts w:ascii="Noto Sans" w:hAnsi="Noto Sans" w:cs="Times New Roman"/>
          <w:color w:val="000000"/>
          <w:sz w:val="22"/>
          <w:szCs w:val="22"/>
        </w:rPr>
        <w:t>, </w:t>
      </w:r>
      <w:r w:rsidRPr="00932EA6">
        <w:rPr>
          <w:rFonts w:ascii="Noto Sans" w:hAnsi="Noto Sans" w:cs="Times New Roman"/>
          <w:color w:val="000000"/>
          <w:sz w:val="22"/>
        </w:rPr>
        <w:t>dendritic</w:t>
      </w:r>
      <w:r w:rsidRPr="00932EA6">
        <w:rPr>
          <w:rFonts w:ascii="Noto Sans" w:hAnsi="Noto Sans" w:cs="Times New Roman"/>
          <w:color w:val="000000"/>
          <w:sz w:val="22"/>
          <w:szCs w:val="22"/>
        </w:rPr>
        <w:t> </w:t>
      </w:r>
      <w:r w:rsidRPr="00932EA6">
        <w:rPr>
          <w:rFonts w:ascii="Noto Sans" w:hAnsi="Noto Sans" w:cs="Times New Roman"/>
          <w:color w:val="000000"/>
          <w:sz w:val="22"/>
        </w:rPr>
        <w:t>cells</w:t>
      </w:r>
      <w:r w:rsidRPr="00932EA6">
        <w:rPr>
          <w:rFonts w:ascii="Noto Sans" w:hAnsi="Noto Sans" w:cs="Times New Roman"/>
          <w:color w:val="000000"/>
          <w:sz w:val="22"/>
          <w:szCs w:val="22"/>
        </w:rPr>
        <w:t> were generated ex vivo in the presence of recombinant cytokines (IL-4; GM-CSF) and autologous serum. The DC loaded with tumor </w:t>
      </w:r>
      <w:r w:rsidRPr="00932EA6">
        <w:rPr>
          <w:rFonts w:ascii="Noto Sans" w:hAnsi="Noto Sans" w:cs="Times New Roman"/>
          <w:color w:val="000000"/>
          <w:sz w:val="22"/>
        </w:rPr>
        <w:t>cell</w:t>
      </w:r>
      <w:r w:rsidRPr="00932EA6">
        <w:rPr>
          <w:rFonts w:ascii="Noto Sans" w:hAnsi="Noto Sans" w:cs="Times New Roman"/>
          <w:color w:val="000000"/>
          <w:sz w:val="22"/>
          <w:szCs w:val="22"/>
        </w:rPr>
        <w:t xml:space="preserve"> lysate </w:t>
      </w:r>
      <w:proofErr w:type="gramStart"/>
      <w:r w:rsidRPr="00932EA6">
        <w:rPr>
          <w:rFonts w:ascii="Noto Sans" w:hAnsi="Noto Sans" w:cs="Times New Roman"/>
          <w:color w:val="000000"/>
          <w:sz w:val="22"/>
          <w:szCs w:val="22"/>
        </w:rPr>
        <w:t>were</w:t>
      </w:r>
      <w:proofErr w:type="gramEnd"/>
      <w:r w:rsidRPr="00932EA6">
        <w:rPr>
          <w:rFonts w:ascii="Noto Sans" w:hAnsi="Noto Sans" w:cs="Times New Roman"/>
          <w:color w:val="000000"/>
          <w:sz w:val="22"/>
          <w:szCs w:val="22"/>
        </w:rPr>
        <w:t xml:space="preserve"> administered to the patients intradermally. Culture conditions were tested for upregulation of costimulatory molecules, downregulation of IL-10 and upregulation of IL-12 secretion by ELISPOT and fluorescence cytometry. </w:t>
      </w:r>
    </w:p>
    <w:p w:rsidR="00932EA6" w:rsidRDefault="00932EA6" w:rsidP="00932EA6">
      <w:pPr>
        <w:spacing w:line="360" w:lineRule="atLeast"/>
        <w:rPr>
          <w:rFonts w:ascii="Noto Sans" w:hAnsi="Noto Sans" w:cs="Times New Roman"/>
          <w:color w:val="000000"/>
          <w:sz w:val="22"/>
          <w:szCs w:val="22"/>
        </w:rPr>
      </w:pPr>
    </w:p>
    <w:p w:rsidR="00932EA6" w:rsidRDefault="00932EA6" w:rsidP="00932EA6">
      <w:pPr>
        <w:spacing w:line="360" w:lineRule="atLeast"/>
        <w:rPr>
          <w:rFonts w:ascii="Noto Sans" w:hAnsi="Noto Sans" w:cs="Times New Roman"/>
          <w:color w:val="000000"/>
          <w:sz w:val="22"/>
          <w:szCs w:val="22"/>
        </w:rPr>
      </w:pPr>
      <w:r w:rsidRPr="00932EA6">
        <w:rPr>
          <w:rFonts w:ascii="Noto Sans" w:hAnsi="Noto Sans" w:cs="Times New Roman"/>
          <w:b/>
          <w:color w:val="000000"/>
          <w:sz w:val="22"/>
          <w:szCs w:val="22"/>
        </w:rPr>
        <w:t>Results:</w:t>
      </w:r>
      <w:r w:rsidRPr="00932EA6">
        <w:rPr>
          <w:rFonts w:ascii="Noto Sans" w:hAnsi="Noto Sans" w:cs="Times New Roman"/>
          <w:color w:val="000000"/>
          <w:sz w:val="22"/>
          <w:szCs w:val="22"/>
        </w:rPr>
        <w:t> DC vaccination induced a clinical response in 9 (23%) patients with a median overall survival after onset of DC-therapy of 12 months (11–44 months for responders and 1–20 months for non-responders) and 23 months after diagnosis of </w:t>
      </w:r>
      <w:r w:rsidRPr="00932EA6">
        <w:rPr>
          <w:rFonts w:ascii="Noto Sans" w:hAnsi="Noto Sans" w:cs="Times New Roman"/>
          <w:color w:val="000000"/>
          <w:sz w:val="22"/>
        </w:rPr>
        <w:t>metastases</w:t>
      </w:r>
      <w:r w:rsidRPr="00932EA6">
        <w:rPr>
          <w:rFonts w:ascii="Noto Sans" w:hAnsi="Noto Sans" w:cs="Times New Roman"/>
          <w:color w:val="000000"/>
          <w:sz w:val="22"/>
          <w:szCs w:val="22"/>
        </w:rPr>
        <w:t> (16–63 months for responders and 1–23 months for non-responders). These data show that a </w:t>
      </w:r>
      <w:r w:rsidRPr="00932EA6">
        <w:rPr>
          <w:rFonts w:ascii="Noto Sans" w:hAnsi="Noto Sans" w:cs="Times New Roman"/>
          <w:color w:val="000000"/>
          <w:sz w:val="22"/>
        </w:rPr>
        <w:t>dendritic</w:t>
      </w:r>
      <w:r w:rsidRPr="00932EA6">
        <w:rPr>
          <w:rFonts w:ascii="Noto Sans" w:hAnsi="Noto Sans" w:cs="Times New Roman"/>
          <w:color w:val="000000"/>
          <w:sz w:val="22"/>
          <w:szCs w:val="22"/>
        </w:rPr>
        <w:t> </w:t>
      </w:r>
      <w:r w:rsidRPr="00932EA6">
        <w:rPr>
          <w:rFonts w:ascii="Noto Sans" w:hAnsi="Noto Sans" w:cs="Times New Roman"/>
          <w:color w:val="000000"/>
          <w:sz w:val="22"/>
        </w:rPr>
        <w:t>cell</w:t>
      </w:r>
      <w:r w:rsidRPr="00932EA6">
        <w:rPr>
          <w:rFonts w:ascii="Noto Sans" w:hAnsi="Noto Sans" w:cs="Times New Roman"/>
          <w:color w:val="000000"/>
          <w:sz w:val="22"/>
          <w:szCs w:val="22"/>
        </w:rPr>
        <w:t> based immunotherapy may prolong the patients overall survival. However, complete remissions are rare. This can be due to weak stimulation of CTL response due to insufficient antigen presentation, lack of costimulatory molecules as well as secretion of IL-10 rather than IL-12 by the DC’s. Here we could show that Toll-like receptors (TLR) ligands like Poly-I</w:t>
      </w:r>
      <w:proofErr w:type="gramStart"/>
      <w:r w:rsidRPr="00932EA6">
        <w:rPr>
          <w:rFonts w:ascii="Noto Sans" w:hAnsi="Noto Sans" w:cs="Times New Roman"/>
          <w:color w:val="000000"/>
          <w:sz w:val="22"/>
          <w:szCs w:val="22"/>
        </w:rPr>
        <w:t>:C</w:t>
      </w:r>
      <w:proofErr w:type="gramEnd"/>
      <w:r w:rsidRPr="00932EA6">
        <w:rPr>
          <w:rFonts w:ascii="Noto Sans" w:hAnsi="Noto Sans" w:cs="Times New Roman"/>
          <w:color w:val="000000"/>
          <w:sz w:val="22"/>
          <w:szCs w:val="22"/>
        </w:rPr>
        <w:t xml:space="preserve"> or lipopeptides as so called </w:t>
      </w:r>
      <w:r w:rsidRPr="00932EA6">
        <w:rPr>
          <w:rFonts w:ascii="Noto Sans" w:hAnsi="Noto Sans" w:cs="Times New Roman"/>
          <w:color w:val="000000"/>
          <w:sz w:val="22"/>
        </w:rPr>
        <w:t>danger</w:t>
      </w:r>
      <w:r w:rsidRPr="00932EA6">
        <w:rPr>
          <w:rFonts w:ascii="Noto Sans" w:hAnsi="Noto Sans" w:cs="Times New Roman"/>
          <w:color w:val="000000"/>
          <w:sz w:val="22"/>
          <w:szCs w:val="22"/>
        </w:rPr>
        <w:t> signals in combination with interferons can induce an upregulation of costimulatory molecules accompanied by inhibition of IL-10 and induction of IL-12 secretion in vitro. By using these culture conditions we induced a clinical complete remission of liver </w:t>
      </w:r>
      <w:r w:rsidRPr="00932EA6">
        <w:rPr>
          <w:rFonts w:ascii="Noto Sans" w:hAnsi="Noto Sans" w:cs="Times New Roman"/>
          <w:color w:val="000000"/>
          <w:sz w:val="22"/>
        </w:rPr>
        <w:t>metastases</w:t>
      </w:r>
      <w:r w:rsidRPr="00932EA6">
        <w:rPr>
          <w:rFonts w:ascii="Noto Sans" w:hAnsi="Noto Sans" w:cs="Times New Roman"/>
          <w:color w:val="000000"/>
          <w:sz w:val="22"/>
          <w:szCs w:val="22"/>
        </w:rPr>
        <w:t> after failure of standard therapy in one patient (overall survival after onset of DC-therapy 13 months, after diagnosis 24 months). </w:t>
      </w:r>
    </w:p>
    <w:p w:rsidR="00932EA6" w:rsidRDefault="00932EA6" w:rsidP="00932EA6">
      <w:pPr>
        <w:spacing w:line="360" w:lineRule="atLeast"/>
        <w:rPr>
          <w:rFonts w:ascii="Noto Sans" w:hAnsi="Noto Sans" w:cs="Times New Roman"/>
          <w:color w:val="000000"/>
          <w:sz w:val="22"/>
          <w:szCs w:val="22"/>
        </w:rPr>
      </w:pPr>
    </w:p>
    <w:p w:rsidR="00CC3AAF" w:rsidRPr="00932EA6" w:rsidRDefault="00932EA6" w:rsidP="00932EA6">
      <w:pPr>
        <w:spacing w:line="360" w:lineRule="atLeast"/>
        <w:rPr>
          <w:rFonts w:ascii="Noto Sans" w:hAnsi="Noto Sans" w:cs="Times New Roman"/>
          <w:color w:val="000000"/>
          <w:sz w:val="22"/>
          <w:szCs w:val="22"/>
        </w:rPr>
      </w:pPr>
      <w:r w:rsidRPr="00932EA6">
        <w:rPr>
          <w:rFonts w:ascii="Noto Sans" w:hAnsi="Noto Sans" w:cs="Times New Roman"/>
          <w:b/>
          <w:color w:val="000000"/>
          <w:sz w:val="22"/>
          <w:szCs w:val="22"/>
        </w:rPr>
        <w:t>Conclusions:</w:t>
      </w:r>
      <w:r>
        <w:rPr>
          <w:rFonts w:ascii="Noto Sans" w:hAnsi="Noto Sans" w:cs="Times New Roman"/>
          <w:b/>
          <w:color w:val="000000"/>
          <w:sz w:val="22"/>
          <w:szCs w:val="22"/>
        </w:rPr>
        <w:t xml:space="preserve"> </w:t>
      </w:r>
      <w:r w:rsidRPr="00932EA6">
        <w:rPr>
          <w:rFonts w:ascii="Noto Sans" w:hAnsi="Noto Sans" w:cs="Times New Roman"/>
          <w:color w:val="000000"/>
          <w:sz w:val="22"/>
          <w:szCs w:val="22"/>
        </w:rPr>
        <w:t>According to Matzinger’s hypothesis an effective immune response occurs only by responding to a </w:t>
      </w:r>
      <w:r w:rsidRPr="00932EA6">
        <w:rPr>
          <w:rFonts w:ascii="Noto Sans" w:hAnsi="Noto Sans" w:cs="Times New Roman"/>
          <w:color w:val="000000"/>
          <w:sz w:val="22"/>
        </w:rPr>
        <w:t>danger</w:t>
      </w:r>
      <w:r w:rsidRPr="00932EA6">
        <w:rPr>
          <w:rFonts w:ascii="Noto Sans" w:hAnsi="Noto Sans" w:cs="Times New Roman"/>
          <w:color w:val="000000"/>
          <w:sz w:val="22"/>
          <w:szCs w:val="22"/>
        </w:rPr>
        <w:t> signal associated with infection or stress. Thus, </w:t>
      </w:r>
      <w:r w:rsidRPr="00932EA6">
        <w:rPr>
          <w:rFonts w:ascii="Noto Sans" w:hAnsi="Noto Sans" w:cs="Times New Roman"/>
          <w:color w:val="000000"/>
          <w:sz w:val="22"/>
        </w:rPr>
        <w:t>cell</w:t>
      </w:r>
      <w:r w:rsidRPr="00932EA6">
        <w:rPr>
          <w:rFonts w:ascii="Noto Sans" w:hAnsi="Noto Sans" w:cs="Times New Roman"/>
          <w:color w:val="000000"/>
          <w:sz w:val="22"/>
          <w:szCs w:val="22"/>
        </w:rPr>
        <w:t>culture condition should be used with TLR ligands mimicking a bacterial or viral infection. In general, a </w:t>
      </w:r>
      <w:r w:rsidRPr="00932EA6">
        <w:rPr>
          <w:rFonts w:ascii="Noto Sans" w:hAnsi="Noto Sans" w:cs="Times New Roman"/>
          <w:color w:val="000000"/>
          <w:sz w:val="22"/>
        </w:rPr>
        <w:t>dendritic</w:t>
      </w:r>
      <w:r w:rsidRPr="00932EA6">
        <w:rPr>
          <w:rFonts w:ascii="Noto Sans" w:hAnsi="Noto Sans" w:cs="Times New Roman"/>
          <w:color w:val="000000"/>
          <w:sz w:val="22"/>
          <w:szCs w:val="22"/>
        </w:rPr>
        <w:t> </w:t>
      </w:r>
      <w:r w:rsidRPr="00932EA6">
        <w:rPr>
          <w:rFonts w:ascii="Noto Sans" w:hAnsi="Noto Sans" w:cs="Times New Roman"/>
          <w:color w:val="000000"/>
          <w:sz w:val="22"/>
        </w:rPr>
        <w:t>cell</w:t>
      </w:r>
      <w:r w:rsidRPr="00932EA6">
        <w:rPr>
          <w:rFonts w:ascii="Noto Sans" w:hAnsi="Noto Sans" w:cs="Times New Roman"/>
          <w:color w:val="000000"/>
          <w:sz w:val="22"/>
          <w:szCs w:val="22"/>
        </w:rPr>
        <w:t> based immunotherapy can be successful in advanced stages of </w:t>
      </w:r>
      <w:r w:rsidRPr="00932EA6">
        <w:rPr>
          <w:rFonts w:ascii="Noto Sans" w:hAnsi="Noto Sans" w:cs="Times New Roman"/>
          <w:color w:val="000000"/>
          <w:sz w:val="22"/>
        </w:rPr>
        <w:t>colon</w:t>
      </w:r>
      <w:r w:rsidRPr="00932EA6">
        <w:rPr>
          <w:rFonts w:ascii="Noto Sans" w:hAnsi="Noto Sans" w:cs="Times New Roman"/>
          <w:color w:val="000000"/>
          <w:sz w:val="22"/>
          <w:szCs w:val="22"/>
        </w:rPr>
        <w:t> </w:t>
      </w:r>
      <w:r w:rsidRPr="00932EA6">
        <w:rPr>
          <w:rFonts w:ascii="Noto Sans" w:hAnsi="Noto Sans" w:cs="Times New Roman"/>
          <w:color w:val="000000"/>
          <w:sz w:val="22"/>
        </w:rPr>
        <w:t>cancer</w:t>
      </w:r>
      <w:r w:rsidRPr="00932EA6">
        <w:rPr>
          <w:rFonts w:ascii="Noto Sans" w:hAnsi="Noto Sans" w:cs="Times New Roman"/>
          <w:color w:val="000000"/>
          <w:sz w:val="22"/>
          <w:szCs w:val="22"/>
        </w:rPr>
        <w:t> patients.</w:t>
      </w:r>
    </w:p>
    <w:sectPr w:rsidR="00CC3AAF" w:rsidRPr="00932EA6" w:rsidSect="00932EA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oto San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370D0"/>
    <w:multiLevelType w:val="multilevel"/>
    <w:tmpl w:val="5426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2EA6"/>
    <w:rsid w:val="00932EA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C9"/>
  </w:style>
  <w:style w:type="paragraph" w:styleId="Heading1">
    <w:name w:val="heading 1"/>
    <w:basedOn w:val="Normal"/>
    <w:link w:val="Heading1Char"/>
    <w:uiPriority w:val="9"/>
    <w:rsid w:val="00932EA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32EA6"/>
    <w:rPr>
      <w:rFonts w:ascii="Times" w:hAnsi="Times"/>
      <w:b/>
      <w:kern w:val="36"/>
      <w:sz w:val="48"/>
      <w:szCs w:val="20"/>
    </w:rPr>
  </w:style>
  <w:style w:type="character" w:customStyle="1" w:styleId="nlmcontrib-group">
    <w:name w:val="nlm_contrib-group"/>
    <w:basedOn w:val="DefaultParagraphFont"/>
    <w:rsid w:val="00932EA6"/>
  </w:style>
  <w:style w:type="character" w:customStyle="1" w:styleId="contribdegrees">
    <w:name w:val="contribdegrees"/>
    <w:basedOn w:val="DefaultParagraphFont"/>
    <w:rsid w:val="00932EA6"/>
  </w:style>
  <w:style w:type="character" w:styleId="Hyperlink">
    <w:name w:val="Hyperlink"/>
    <w:basedOn w:val="DefaultParagraphFont"/>
    <w:uiPriority w:val="99"/>
    <w:rsid w:val="00932EA6"/>
    <w:rPr>
      <w:color w:val="0000FF"/>
      <w:u w:val="single"/>
    </w:rPr>
  </w:style>
  <w:style w:type="paragraph" w:styleId="NormalWeb">
    <w:name w:val="Normal (Web)"/>
    <w:basedOn w:val="Normal"/>
    <w:uiPriority w:val="99"/>
    <w:rsid w:val="00932EA6"/>
    <w:pPr>
      <w:spacing w:beforeLines="1" w:afterLines="1"/>
    </w:pPr>
    <w:rPr>
      <w:rFonts w:ascii="Times" w:hAnsi="Times" w:cs="Times New Roman"/>
      <w:sz w:val="20"/>
      <w:szCs w:val="20"/>
    </w:rPr>
  </w:style>
  <w:style w:type="character" w:customStyle="1" w:styleId="singlehighlightclass">
    <w:name w:val="single_highlight_class"/>
    <w:basedOn w:val="DefaultParagraphFont"/>
    <w:rsid w:val="00932EA6"/>
  </w:style>
</w:styles>
</file>

<file path=word/webSettings.xml><?xml version="1.0" encoding="utf-8"?>
<w:webSettings xmlns:r="http://schemas.openxmlformats.org/officeDocument/2006/relationships" xmlns:w="http://schemas.openxmlformats.org/wordprocessingml/2006/main">
  <w:divs>
    <w:div w:id="1339766862">
      <w:bodyDiv w:val="1"/>
      <w:marLeft w:val="0"/>
      <w:marRight w:val="0"/>
      <w:marTop w:val="0"/>
      <w:marBottom w:val="0"/>
      <w:divBdr>
        <w:top w:val="none" w:sz="0" w:space="0" w:color="auto"/>
        <w:left w:val="none" w:sz="0" w:space="0" w:color="auto"/>
        <w:bottom w:val="none" w:sz="0" w:space="0" w:color="auto"/>
        <w:right w:val="none" w:sz="0" w:space="0" w:color="auto"/>
      </w:divBdr>
    </w:div>
    <w:div w:id="1775979701">
      <w:bodyDiv w:val="1"/>
      <w:marLeft w:val="0"/>
      <w:marRight w:val="0"/>
      <w:marTop w:val="0"/>
      <w:marBottom w:val="0"/>
      <w:divBdr>
        <w:top w:val="none" w:sz="0" w:space="0" w:color="auto"/>
        <w:left w:val="none" w:sz="0" w:space="0" w:color="auto"/>
        <w:bottom w:val="none" w:sz="0" w:space="0" w:color="auto"/>
        <w:right w:val="none" w:sz="0" w:space="0" w:color="auto"/>
      </w:divBdr>
      <w:divsChild>
        <w:div w:id="1858956636">
          <w:marLeft w:val="0"/>
          <w:marRight w:val="0"/>
          <w:marTop w:val="0"/>
          <w:marBottom w:val="0"/>
          <w:divBdr>
            <w:top w:val="none" w:sz="0" w:space="0" w:color="auto"/>
            <w:left w:val="none" w:sz="0" w:space="0" w:color="auto"/>
            <w:bottom w:val="none" w:sz="0" w:space="0" w:color="auto"/>
            <w:right w:val="none" w:sz="0" w:space="0" w:color="auto"/>
          </w:divBdr>
          <w:divsChild>
            <w:div w:id="800265831">
              <w:marLeft w:val="0"/>
              <w:marRight w:val="0"/>
              <w:marTop w:val="0"/>
              <w:marBottom w:val="0"/>
              <w:divBdr>
                <w:top w:val="none" w:sz="0" w:space="0" w:color="auto"/>
                <w:left w:val="none" w:sz="0" w:space="0" w:color="auto"/>
                <w:bottom w:val="none" w:sz="0" w:space="0" w:color="auto"/>
                <w:right w:val="none" w:sz="0" w:space="0" w:color="auto"/>
              </w:divBdr>
              <w:divsChild>
                <w:div w:id="13986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867">
          <w:marLeft w:val="0"/>
          <w:marRight w:val="0"/>
          <w:marTop w:val="0"/>
          <w:marBottom w:val="0"/>
          <w:divBdr>
            <w:top w:val="none" w:sz="0" w:space="0" w:color="auto"/>
            <w:left w:val="none" w:sz="0" w:space="0" w:color="auto"/>
            <w:bottom w:val="none" w:sz="0" w:space="0" w:color="auto"/>
            <w:right w:val="none" w:sz="0" w:space="0" w:color="auto"/>
          </w:divBdr>
          <w:divsChild>
            <w:div w:id="854928111">
              <w:marLeft w:val="0"/>
              <w:marRight w:val="0"/>
              <w:marTop w:val="0"/>
              <w:marBottom w:val="0"/>
              <w:divBdr>
                <w:top w:val="none" w:sz="0" w:space="0" w:color="auto"/>
                <w:left w:val="none" w:sz="0" w:space="0" w:color="auto"/>
                <w:bottom w:val="none" w:sz="0" w:space="0" w:color="auto"/>
                <w:right w:val="none" w:sz="0" w:space="0" w:color="auto"/>
              </w:divBdr>
              <w:divsChild>
                <w:div w:id="477957903">
                  <w:marLeft w:val="0"/>
                  <w:marRight w:val="0"/>
                  <w:marTop w:val="0"/>
                  <w:marBottom w:val="0"/>
                  <w:divBdr>
                    <w:top w:val="none" w:sz="0" w:space="0" w:color="auto"/>
                    <w:left w:val="none" w:sz="0" w:space="0" w:color="auto"/>
                    <w:bottom w:val="none" w:sz="0" w:space="0" w:color="auto"/>
                    <w:right w:val="none" w:sz="0" w:space="0" w:color="auto"/>
                  </w:divBdr>
                  <w:divsChild>
                    <w:div w:id="1588418780">
                      <w:marLeft w:val="0"/>
                      <w:marRight w:val="0"/>
                      <w:marTop w:val="0"/>
                      <w:marBottom w:val="0"/>
                      <w:divBdr>
                        <w:top w:val="single" w:sz="4" w:space="0" w:color="DDDDDD"/>
                        <w:left w:val="single" w:sz="4" w:space="7" w:color="DDDDDD"/>
                        <w:bottom w:val="single" w:sz="4" w:space="0" w:color="DDDDDD"/>
                        <w:right w:val="single" w:sz="4" w:space="7" w:color="DDDDDD"/>
                      </w:divBdr>
                      <w:divsChild>
                        <w:div w:id="10472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copubs.org/author/Cillien%2C+N" TargetMode="External"/><Relationship Id="rId12" Type="http://schemas.openxmlformats.org/officeDocument/2006/relationships/hyperlink" Target="http://ascopubs.org/author/St%C3%BCcker%2C+W" TargetMode="External"/><Relationship Id="rId13" Type="http://schemas.openxmlformats.org/officeDocument/2006/relationships/hyperlink" Target="http://ascopubs.org/author/Peters%2C+J" TargetMode="External"/><Relationship Id="rId14" Type="http://schemas.openxmlformats.org/officeDocument/2006/relationships/hyperlink" Target="http://ascopubs.org/doi/abs/10.1200/jco.2006.24.18_suppl.256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copubs.org/author/Ne%CE%B2elhut%2C+T" TargetMode="External"/><Relationship Id="rId6" Type="http://schemas.openxmlformats.org/officeDocument/2006/relationships/hyperlink" Target="http://ascopubs.org/author/Lorenzen%2C+D" TargetMode="External"/><Relationship Id="rId7" Type="http://schemas.openxmlformats.org/officeDocument/2006/relationships/hyperlink" Target="http://ascopubs.org/author/Marx%2C+D" TargetMode="External"/><Relationship Id="rId8" Type="http://schemas.openxmlformats.org/officeDocument/2006/relationships/hyperlink" Target="http://ascopubs.org/author/Chang%2C+R" TargetMode="External"/><Relationship Id="rId9" Type="http://schemas.openxmlformats.org/officeDocument/2006/relationships/hyperlink" Target="http://ascopubs.org/author/Ne%CE%B2elhut%2C+J" TargetMode="External"/><Relationship Id="rId10" Type="http://schemas.openxmlformats.org/officeDocument/2006/relationships/hyperlink" Target="http://ascopubs.org/author/Matthes%2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O'Brien</dc:creator>
  <cp:keywords/>
  <cp:lastModifiedBy>Rebecca O'Brien</cp:lastModifiedBy>
  <cp:revision>1</cp:revision>
  <dcterms:created xsi:type="dcterms:W3CDTF">2017-07-06T18:01:00Z</dcterms:created>
  <dcterms:modified xsi:type="dcterms:W3CDTF">2017-07-06T18:03:00Z</dcterms:modified>
</cp:coreProperties>
</file>